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EA174" w14:textId="77777777" w:rsidR="00D97E54" w:rsidRPr="002253DE" w:rsidRDefault="00CA0182" w:rsidP="00CA0182">
      <w:pPr>
        <w:jc w:val="left"/>
        <w:rPr>
          <w:b/>
          <w:i/>
          <w:sz w:val="26"/>
          <w:szCs w:val="26"/>
          <w:lang w:val="en-US"/>
        </w:rPr>
      </w:pPr>
      <w:r w:rsidRPr="002253DE">
        <w:rPr>
          <w:b/>
          <w:sz w:val="26"/>
          <w:szCs w:val="26"/>
          <w:lang w:val="en-US"/>
        </w:rPr>
        <w:t xml:space="preserve">Open Education in Berlin: Benchmark und </w:t>
      </w:r>
      <w:proofErr w:type="spellStart"/>
      <w:r w:rsidRPr="002253DE">
        <w:rPr>
          <w:b/>
          <w:sz w:val="26"/>
          <w:szCs w:val="26"/>
          <w:lang w:val="en-US"/>
        </w:rPr>
        <w:t>Potenziale</w:t>
      </w:r>
      <w:proofErr w:type="spellEnd"/>
      <w:r w:rsidRPr="002253DE">
        <w:rPr>
          <w:b/>
          <w:sz w:val="26"/>
          <w:szCs w:val="26"/>
          <w:lang w:val="en-US"/>
        </w:rPr>
        <w:t xml:space="preserve"> </w:t>
      </w:r>
      <w:r w:rsidRPr="002253DE">
        <w:rPr>
          <w:b/>
          <w:i/>
          <w:sz w:val="26"/>
          <w:szCs w:val="26"/>
          <w:lang w:val="en-US"/>
        </w:rPr>
        <w:t>– Executive Summary</w:t>
      </w:r>
    </w:p>
    <w:p w14:paraId="26B4C951" w14:textId="77777777" w:rsidR="00CA0182" w:rsidRPr="00505709" w:rsidRDefault="00CA0182">
      <w:r w:rsidRPr="00E940CE">
        <w:rPr>
          <w:i/>
        </w:rPr>
        <w:t>Ausgangspunkt und Leitfragen:</w:t>
      </w:r>
      <w:r w:rsidRPr="00CA0182">
        <w:t xml:space="preserve"> Die globale OER-Kernidee eines offenen, freien und gleichen Zugangs zu Bildungsmaterialien harrt bislang in Deutschland ihrer lokalen Realisierung. Ausgehend vom politischen Bekenntnis zur Förderung von OER in Berlin untersucht die vorliegende Studie zwei Fragen: Wie ist die Situation von OER in Berlin im Vergleich mit </w:t>
      </w:r>
      <w:r w:rsidRPr="00505709">
        <w:t xml:space="preserve">anderen Bundesländern in Deutschland? Wo können konkrete OER-Maßnahmen ansetzen, im oft unübersichtlichen und verschachtelten Kompetenzgeflecht von Schul- und Universitätsverwaltung? </w:t>
      </w:r>
    </w:p>
    <w:p w14:paraId="009BEAAB" w14:textId="663A3902" w:rsidR="00CA0182" w:rsidRPr="00505709" w:rsidRDefault="00CA0182">
      <w:r w:rsidRPr="00505709">
        <w:rPr>
          <w:i/>
        </w:rPr>
        <w:t>OER Benchmark – Ist-Situation in Berlin:</w:t>
      </w:r>
      <w:r w:rsidRPr="00505709">
        <w:t xml:space="preserve"> </w:t>
      </w:r>
      <w:r w:rsidR="00E940CE">
        <w:t>Grobanalyse a</w:t>
      </w:r>
      <w:r w:rsidRPr="00505709">
        <w:t xml:space="preserve">uf Basis von </w:t>
      </w:r>
      <w:r w:rsidR="00E940CE">
        <w:t xml:space="preserve">Daten, die </w:t>
      </w:r>
      <w:r w:rsidRPr="00505709">
        <w:t>im Rahmen des über OER hinausreichenden Forschungsprojekts „Digitaler Offen</w:t>
      </w:r>
      <w:r w:rsidR="00E940CE">
        <w:t>heitsindex“ ([</w:t>
      </w:r>
      <w:proofErr w:type="spellStart"/>
      <w:r w:rsidR="00E940CE">
        <w:t>do:index</w:t>
      </w:r>
      <w:proofErr w:type="spellEnd"/>
      <w:r w:rsidR="00E940CE">
        <w:t>]) erhoben wurden</w:t>
      </w:r>
      <w:r w:rsidRPr="00505709">
        <w:t>:</w:t>
      </w:r>
    </w:p>
    <w:p w14:paraId="7886451C" w14:textId="66E9AE71" w:rsidR="00CA0182" w:rsidRPr="00505709" w:rsidRDefault="00CA0182" w:rsidP="0001588F">
      <w:pPr>
        <w:pStyle w:val="Listenabsatz"/>
        <w:numPr>
          <w:ilvl w:val="0"/>
          <w:numId w:val="2"/>
        </w:numPr>
      </w:pPr>
      <w:r w:rsidRPr="00505709">
        <w:t xml:space="preserve">80 Prozent aller Fragen nach </w:t>
      </w:r>
      <w:r w:rsidR="00505709" w:rsidRPr="00505709">
        <w:t xml:space="preserve">konkreten </w:t>
      </w:r>
      <w:r w:rsidRPr="00505709">
        <w:t>OER-Aktivit</w:t>
      </w:r>
      <w:r w:rsidR="006C053B">
        <w:t>ät</w:t>
      </w:r>
      <w:r w:rsidRPr="00505709">
        <w:t>en in verschiedenen Bereichen (Verwaltung, Schule, Universität) wurden</w:t>
      </w:r>
      <w:r w:rsidR="00505709" w:rsidRPr="00505709">
        <w:t xml:space="preserve"> verneint. OER ist in Deutschland noch nicht im Bildungsalltag angekommen.</w:t>
      </w:r>
    </w:p>
    <w:p w14:paraId="52163CB5" w14:textId="1FFD87E5" w:rsidR="00505709" w:rsidRPr="00505709" w:rsidRDefault="00505709" w:rsidP="0001588F">
      <w:pPr>
        <w:pStyle w:val="Listenabsatz"/>
        <w:numPr>
          <w:ilvl w:val="0"/>
          <w:numId w:val="2"/>
        </w:numPr>
      </w:pPr>
      <w:r w:rsidRPr="00505709">
        <w:t>Zwischen den Bundesländern gibt es große Unterschiede. Berlin, Brandenburg und Niedersachsen sind mit mehr als drei dokumentierte</w:t>
      </w:r>
      <w:r w:rsidR="00E940CE">
        <w:t>n</w:t>
      </w:r>
      <w:r w:rsidRPr="00505709">
        <w:t xml:space="preserve"> OER-Aktivitäten an der Spitze. In den meisten </w:t>
      </w:r>
      <w:r w:rsidR="00E940CE">
        <w:t xml:space="preserve">übrigen </w:t>
      </w:r>
      <w:r w:rsidRPr="00505709">
        <w:t>Bundesländern beschränken sich die Aktivit</w:t>
      </w:r>
      <w:r w:rsidR="00E940CE">
        <w:t xml:space="preserve">äten auf das Angebot </w:t>
      </w:r>
      <w:r w:rsidRPr="00505709">
        <w:t>kostenlose</w:t>
      </w:r>
      <w:r w:rsidR="00E940CE">
        <w:t>r</w:t>
      </w:r>
      <w:r w:rsidRPr="00505709">
        <w:t>, aber nicht offen lizenzierte</w:t>
      </w:r>
      <w:r w:rsidR="00E940CE">
        <w:t>r</w:t>
      </w:r>
      <w:r w:rsidRPr="00505709">
        <w:t xml:space="preserve"> </w:t>
      </w:r>
      <w:r w:rsidR="00E940CE">
        <w:t>Lernmittel</w:t>
      </w:r>
      <w:r w:rsidRPr="00505709">
        <w:t xml:space="preserve"> und MOOCs.</w:t>
      </w:r>
    </w:p>
    <w:p w14:paraId="3A23C299" w14:textId="7C27C6C9" w:rsidR="00505709" w:rsidRPr="00505709" w:rsidRDefault="00505709" w:rsidP="0001588F">
      <w:pPr>
        <w:pStyle w:val="Listenabsatz"/>
        <w:numPr>
          <w:ilvl w:val="0"/>
          <w:numId w:val="2"/>
        </w:numPr>
      </w:pPr>
      <w:r w:rsidRPr="00505709">
        <w:t>Auch in Berlin und Brandenburg, mit jeweils sechs positiven Antworten die beiden Bundesländer mit der größten OER-Aktivität</w:t>
      </w:r>
      <w:r w:rsidR="00E940CE">
        <w:t>,</w:t>
      </w:r>
      <w:r w:rsidRPr="00505709">
        <w:t xml:space="preserve"> haben immer noch über die Hälfte der Fragen </w:t>
      </w:r>
      <w:r w:rsidR="00E940CE">
        <w:t xml:space="preserve">zu OER-Aktivitäten </w:t>
      </w:r>
      <w:r w:rsidRPr="00505709">
        <w:t>verneint.</w:t>
      </w:r>
    </w:p>
    <w:p w14:paraId="08ED2F11" w14:textId="754CFFB9" w:rsidR="00CA0182" w:rsidRDefault="00505709">
      <w:r w:rsidRPr="00505709">
        <w:t>In Berlin wurden erste, grundlegende Projekte wie Informationsangebote zum Thema be</w:t>
      </w:r>
      <w:r w:rsidR="0001588F">
        <w:t>reits in Angriff genommen</w:t>
      </w:r>
      <w:r w:rsidR="00E940CE">
        <w:t xml:space="preserve">. </w:t>
      </w:r>
      <w:r w:rsidRPr="00505709">
        <w:t>Initiativen zu stärkerer</w:t>
      </w:r>
      <w:r w:rsidR="00E940CE">
        <w:t xml:space="preserve"> institutioneller</w:t>
      </w:r>
      <w:r w:rsidRPr="00505709">
        <w:t xml:space="preserve"> Verankerung von OER </w:t>
      </w:r>
      <w:r w:rsidR="00E940CE">
        <w:t>bilden hier den logischen nächsten Schritt</w:t>
      </w:r>
      <w:r w:rsidRPr="00505709">
        <w:t>.</w:t>
      </w:r>
    </w:p>
    <w:p w14:paraId="0E335D98" w14:textId="2DC86DDA" w:rsidR="0001588F" w:rsidRDefault="0001588F" w:rsidP="0001588F">
      <w:r w:rsidRPr="0001588F">
        <w:rPr>
          <w:i/>
        </w:rPr>
        <w:t>Methode der Untersuchung:</w:t>
      </w:r>
      <w:r>
        <w:t xml:space="preserve"> Hauptgrundlage für die Beurteilung der OER-Potentiale und die Entwicklung von Handlungsempfehlungen </w:t>
      </w:r>
      <w:bookmarkStart w:id="0" w:name="_GoBack"/>
      <w:bookmarkEnd w:id="0"/>
      <w:r>
        <w:t>sind 19 leitfadengestützte Interviews mit 22 Experten</w:t>
      </w:r>
      <w:r w:rsidR="00E940CE">
        <w:t xml:space="preserve">, u.a. aus </w:t>
      </w:r>
      <w:r w:rsidR="00E940CE" w:rsidRPr="002253DE">
        <w:t>der Berliner Senatsverwaltung für Bildung, Jugend und Wissenschaft (</w:t>
      </w:r>
      <w:proofErr w:type="spellStart"/>
      <w:r w:rsidR="00E940CE" w:rsidRPr="002253DE">
        <w:t>SenBJW</w:t>
      </w:r>
      <w:proofErr w:type="spellEnd"/>
      <w:r w:rsidR="00E940CE" w:rsidRPr="002253DE">
        <w:t xml:space="preserve">), dem Landesinstitut für Schule und Medien Berlin-Brandenburg (LISUM), der </w:t>
      </w:r>
      <w:proofErr w:type="spellStart"/>
      <w:r w:rsidR="00E940CE" w:rsidRPr="002253DE">
        <w:t>iMINT</w:t>
      </w:r>
      <w:proofErr w:type="spellEnd"/>
      <w:r w:rsidR="00E940CE" w:rsidRPr="002253DE">
        <w:t>-Academy</w:t>
      </w:r>
      <w:r w:rsidR="007A450D" w:rsidRPr="002253DE">
        <w:t>, Schul- und Fachbereichsleitern verschiedener Schultypen, Vertretern Berliner Hochschulen (FU, HU, TU, HTW und Beuth) sowie von Bildungsmedienverlagen.</w:t>
      </w:r>
    </w:p>
    <w:p w14:paraId="639A4F75" w14:textId="1D009E9C" w:rsidR="0001588F" w:rsidRDefault="007A450D" w:rsidP="007A450D">
      <w:r w:rsidRPr="007A450D">
        <w:rPr>
          <w:i/>
        </w:rPr>
        <w:lastRenderedPageBreak/>
        <w:t>Handlungsoptionen für OER im Schulbereich:</w:t>
      </w:r>
      <w:r>
        <w:t xml:space="preserve"> Für den Schulbereich wurden drei aufeinander aufbauende Szenarien entwickelt:</w:t>
      </w:r>
    </w:p>
    <w:p w14:paraId="367977F8" w14:textId="545AF45D" w:rsidR="007A450D" w:rsidRDefault="007A450D" w:rsidP="007A450D">
      <w:pPr>
        <w:pStyle w:val="Listenabsatz"/>
        <w:numPr>
          <w:ilvl w:val="0"/>
          <w:numId w:val="5"/>
        </w:numPr>
      </w:pPr>
      <w:r>
        <w:rPr>
          <w:b/>
        </w:rPr>
        <w:t>Szenario 1 „</w:t>
      </w:r>
      <w:r w:rsidRPr="007A450D">
        <w:rPr>
          <w:b/>
        </w:rPr>
        <w:t>Graswurzeln düngen”:</w:t>
      </w:r>
      <w:r>
        <w:t xml:space="preserve"> Klares Bekenntnis der </w:t>
      </w:r>
      <w:proofErr w:type="spellStart"/>
      <w:r>
        <w:t>SenBJW</w:t>
      </w:r>
      <w:proofErr w:type="spellEnd"/>
      <w:r>
        <w:t xml:space="preserve"> zu OER, Veranstaltung von OER-Wettbewerben, OER als Fokusthema für Lehrkräftefortbildung sowie Benennung und Ausbildung von OER-</w:t>
      </w:r>
      <w:proofErr w:type="spellStart"/>
      <w:r>
        <w:t>AnsprechpartnerInnen</w:t>
      </w:r>
      <w:proofErr w:type="spellEnd"/>
      <w:r>
        <w:t xml:space="preserve"> an Schulen.</w:t>
      </w:r>
    </w:p>
    <w:p w14:paraId="0C217547" w14:textId="22981AA1" w:rsidR="007A450D" w:rsidRDefault="007A450D" w:rsidP="007A450D">
      <w:pPr>
        <w:pStyle w:val="Standardabsatz"/>
        <w:numPr>
          <w:ilvl w:val="0"/>
          <w:numId w:val="6"/>
        </w:numPr>
        <w:rPr>
          <w:bCs/>
        </w:rPr>
      </w:pPr>
      <w:r>
        <w:rPr>
          <w:b/>
        </w:rPr>
        <w:t xml:space="preserve">Szenario 2 „OER </w:t>
      </w:r>
      <w:proofErr w:type="spellStart"/>
      <w:r>
        <w:rPr>
          <w:b/>
        </w:rPr>
        <w:t>Mainstreamen</w:t>
      </w:r>
      <w:proofErr w:type="spellEnd"/>
      <w:r>
        <w:rPr>
          <w:b/>
        </w:rPr>
        <w:t xml:space="preserve">“: </w:t>
      </w:r>
      <w:r>
        <w:rPr>
          <w:bCs/>
        </w:rPr>
        <w:t xml:space="preserve">Entwicklung lehrplankonformer </w:t>
      </w:r>
      <w:r w:rsidRPr="00154CA6">
        <w:rPr>
          <w:bCs/>
        </w:rPr>
        <w:t>OER-</w:t>
      </w:r>
      <w:r>
        <w:rPr>
          <w:bCs/>
        </w:rPr>
        <w:t>Lernmittel</w:t>
      </w:r>
      <w:r w:rsidRPr="00154CA6">
        <w:rPr>
          <w:bCs/>
        </w:rPr>
        <w:t xml:space="preserve"> </w:t>
      </w:r>
      <w:r>
        <w:rPr>
          <w:bCs/>
        </w:rPr>
        <w:t xml:space="preserve">für ein MINT-Fach der Mittelstufe, Veröffentlichung eines Kriterienkatalogs für OER-Lernmittel durch die </w:t>
      </w:r>
      <w:proofErr w:type="spellStart"/>
      <w:r>
        <w:rPr>
          <w:bCs/>
        </w:rPr>
        <w:t>SenBJW</w:t>
      </w:r>
      <w:proofErr w:type="spellEnd"/>
      <w:r>
        <w:rPr>
          <w:bCs/>
        </w:rPr>
        <w:t xml:space="preserve"> zur Ermöglichung von OER-Vorfinanzierung im Rahmen des bestehenden, dezentralen Einsatzes von Lernmittelbudgets.</w:t>
      </w:r>
    </w:p>
    <w:p w14:paraId="404255D9" w14:textId="449C281D" w:rsidR="007A450D" w:rsidRDefault="007A450D" w:rsidP="007A450D">
      <w:pPr>
        <w:pStyle w:val="Standardabsatz"/>
        <w:numPr>
          <w:ilvl w:val="0"/>
          <w:numId w:val="6"/>
        </w:numPr>
        <w:rPr>
          <w:bCs/>
        </w:rPr>
      </w:pPr>
      <w:r>
        <w:rPr>
          <w:b/>
        </w:rPr>
        <w:t>Szenario 3 „Vorrang für OER“:</w:t>
      </w:r>
      <w:r>
        <w:rPr>
          <w:bCs/>
        </w:rPr>
        <w:t xml:space="preserve"> Schaffung einer Stabsstelle OER in der </w:t>
      </w:r>
      <w:proofErr w:type="spellStart"/>
      <w:r>
        <w:rPr>
          <w:bCs/>
        </w:rPr>
        <w:t>SenBJW</w:t>
      </w:r>
      <w:proofErr w:type="spellEnd"/>
      <w:r>
        <w:rPr>
          <w:bCs/>
        </w:rPr>
        <w:t xml:space="preserve">, Aufbau eines Berliner OER-Portals sowie monetäre Anreize für finanzielle Beteiligung an OER-Vorfinanzierung durch Schulen in Form eines OER-Bonus. </w:t>
      </w:r>
    </w:p>
    <w:p w14:paraId="2ECE3054" w14:textId="77777777" w:rsidR="009C2475" w:rsidRDefault="007A450D">
      <w:r w:rsidRPr="009C2475">
        <w:rPr>
          <w:i/>
        </w:rPr>
        <w:t>Handlungsoptionen für OER im Hochschulbereich:</w:t>
      </w:r>
      <w:r w:rsidR="009C2475">
        <w:t xml:space="preserve"> Die doppelte Autonomie von </w:t>
      </w:r>
      <w:proofErr w:type="spellStart"/>
      <w:r w:rsidR="009C2475">
        <w:t>Hochschul</w:t>
      </w:r>
      <w:proofErr w:type="spellEnd"/>
      <w:r w:rsidR="009C2475">
        <w:t>(</w:t>
      </w:r>
      <w:proofErr w:type="spellStart"/>
      <w:r w:rsidR="009C2475">
        <w:t>bibliothek</w:t>
      </w:r>
      <w:proofErr w:type="spellEnd"/>
      <w:r w:rsidR="009C2475">
        <w:t>)en und Lehrenden erschwert hier direkte Steuerung von politischer Seite. Dennoch lassen sich konkrete Fördermöglichkeiten identifizieren:</w:t>
      </w:r>
    </w:p>
    <w:p w14:paraId="05AA6F02" w14:textId="3FD56517" w:rsidR="009C2475" w:rsidRDefault="009C2475" w:rsidP="009C2475">
      <w:pPr>
        <w:pStyle w:val="Listenabsatz"/>
        <w:numPr>
          <w:ilvl w:val="0"/>
          <w:numId w:val="7"/>
        </w:numPr>
      </w:pPr>
      <w:r>
        <w:t xml:space="preserve">Förderprogramme für OER-Lehre nach internationalen (z.B. US-Bundesstaaten) und nationalen Vorbildern (z.B. MOOC-Wettbewerb des Stifterverbands und </w:t>
      </w:r>
      <w:proofErr w:type="spellStart"/>
      <w:r>
        <w:t>Iversity</w:t>
      </w:r>
      <w:proofErr w:type="spellEnd"/>
      <w:r>
        <w:t>).</w:t>
      </w:r>
    </w:p>
    <w:p w14:paraId="0AEB0E78" w14:textId="06C14735" w:rsidR="0001588F" w:rsidRDefault="009C2475" w:rsidP="009C2475">
      <w:pPr>
        <w:pStyle w:val="Listenabsatz"/>
        <w:numPr>
          <w:ilvl w:val="0"/>
          <w:numId w:val="7"/>
        </w:numPr>
      </w:pPr>
      <w:r>
        <w:t xml:space="preserve">Förderung der Integration von OER-Unterstützung in vorhandene Lernplattformen und Kursmanagementsysteme wie </w:t>
      </w:r>
      <w:proofErr w:type="spellStart"/>
      <w:r>
        <w:t>Moodle</w:t>
      </w:r>
      <w:proofErr w:type="spellEnd"/>
      <w:r>
        <w:t xml:space="preserve"> oder </w:t>
      </w:r>
      <w:proofErr w:type="spellStart"/>
      <w:r>
        <w:t>Blackboard</w:t>
      </w:r>
      <w:proofErr w:type="spellEnd"/>
      <w:r>
        <w:t>.</w:t>
      </w:r>
    </w:p>
    <w:p w14:paraId="17A9A5FC" w14:textId="7040F343" w:rsidR="007A450D" w:rsidRPr="009C2475" w:rsidRDefault="009C2475" w:rsidP="009C2475">
      <w:pPr>
        <w:pStyle w:val="Listenabsatz"/>
        <w:numPr>
          <w:ilvl w:val="0"/>
          <w:numId w:val="7"/>
        </w:numPr>
      </w:pPr>
      <w:r>
        <w:t xml:space="preserve">Einrichtung einer Stelle für OER im Hochschulbereich in der </w:t>
      </w:r>
      <w:proofErr w:type="spellStart"/>
      <w:r>
        <w:t>SenBJW</w:t>
      </w:r>
      <w:proofErr w:type="spellEnd"/>
      <w:r>
        <w:t xml:space="preserve"> sowie </w:t>
      </w:r>
      <w:r w:rsidRPr="009C2475">
        <w:t>Aufforderung an die Hochschulen klare OER-Zuständigkeiten zu schaffen.</w:t>
      </w:r>
    </w:p>
    <w:p w14:paraId="7893FCF7" w14:textId="407B087C" w:rsidR="009C2475" w:rsidRPr="009C2475" w:rsidRDefault="009C2475" w:rsidP="009C2475">
      <w:r w:rsidRPr="009C2475">
        <w:rPr>
          <w:i/>
        </w:rPr>
        <w:t xml:space="preserve">Sonstige Handlungsempfehlungen: </w:t>
      </w:r>
      <w:r w:rsidRPr="009C2475">
        <w:t>Neben den konkreten Handlungsempfehlungen mit Bezug auf die Situation in Berlin wurden zwei zentrale Handlungsfelder sichtbar, die in Bedeutung und Umsetzbarkeit klar über die Landesebene hinausreichen.</w:t>
      </w:r>
    </w:p>
    <w:p w14:paraId="5FE53E38" w14:textId="6AF0A940" w:rsidR="009C2475" w:rsidRPr="009C2475" w:rsidRDefault="009C2475" w:rsidP="009C2475">
      <w:pPr>
        <w:pStyle w:val="Standardabsatz"/>
        <w:numPr>
          <w:ilvl w:val="0"/>
          <w:numId w:val="8"/>
        </w:numPr>
      </w:pPr>
      <w:r w:rsidRPr="009C2475">
        <w:t xml:space="preserve">Modernisierung des Urheberrechts durch Einführung einer Allgemeinen Bildungs- und Wissenschaftsschranke (vgl. dazu de la </w:t>
      </w:r>
      <w:proofErr w:type="spellStart"/>
      <w:r w:rsidRPr="009C2475">
        <w:t>Durantaye</w:t>
      </w:r>
      <w:proofErr w:type="spellEnd"/>
      <w:r w:rsidRPr="009C2475">
        <w:t xml:space="preserve"> 2014).</w:t>
      </w:r>
    </w:p>
    <w:p w14:paraId="34D8EDAA" w14:textId="09934C3D" w:rsidR="009C2475" w:rsidRPr="009C2475" w:rsidRDefault="009C2475" w:rsidP="009C2475">
      <w:pPr>
        <w:pStyle w:val="Standardabsatz"/>
        <w:numPr>
          <w:ilvl w:val="0"/>
          <w:numId w:val="8"/>
        </w:numPr>
      </w:pPr>
      <w:r w:rsidRPr="009C2475">
        <w:t>Durchführung von weiterführenden Studien zu den Themenfeldern OER-Geschäftsmodelle, länderübergreifende OER-Kooperation sowie OER-Pilotprojekte.</w:t>
      </w:r>
    </w:p>
    <w:sectPr w:rsidR="009C2475" w:rsidRPr="009C2475" w:rsidSect="009C2475">
      <w:footerReference w:type="even" r:id="rId8"/>
      <w:footerReference w:type="default" r:id="rId9"/>
      <w:pgSz w:w="11900" w:h="16840"/>
      <w:pgMar w:top="1417" w:right="1417" w:bottom="1134" w:left="141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4A5BC" w14:textId="77777777" w:rsidR="009C2475" w:rsidRDefault="009C2475" w:rsidP="009C2475">
      <w:pPr>
        <w:spacing w:before="0" w:after="0" w:line="240" w:lineRule="auto"/>
      </w:pPr>
      <w:r>
        <w:separator/>
      </w:r>
    </w:p>
  </w:endnote>
  <w:endnote w:type="continuationSeparator" w:id="0">
    <w:p w14:paraId="6EF7C937" w14:textId="77777777" w:rsidR="009C2475" w:rsidRDefault="009C2475" w:rsidP="009C2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04AB" w14:textId="77777777" w:rsidR="009C2475" w:rsidRDefault="009C2475" w:rsidP="00643D3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CD5EF0" w14:textId="77777777" w:rsidR="009C2475" w:rsidRDefault="009C2475" w:rsidP="009C247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8BA4" w14:textId="77777777" w:rsidR="009C2475" w:rsidRPr="009C2475" w:rsidRDefault="009C2475" w:rsidP="00643D30">
    <w:pPr>
      <w:pStyle w:val="Fuzeile"/>
      <w:framePr w:wrap="around" w:vAnchor="text" w:hAnchor="margin" w:xAlign="right" w:y="1"/>
      <w:rPr>
        <w:rStyle w:val="Seitenzahl"/>
        <w:sz w:val="20"/>
        <w:szCs w:val="20"/>
      </w:rPr>
    </w:pPr>
    <w:r w:rsidRPr="009C2475">
      <w:rPr>
        <w:rStyle w:val="Seitenzahl"/>
        <w:sz w:val="20"/>
        <w:szCs w:val="20"/>
      </w:rPr>
      <w:fldChar w:fldCharType="begin"/>
    </w:r>
    <w:r w:rsidRPr="009C2475">
      <w:rPr>
        <w:rStyle w:val="Seitenzahl"/>
        <w:sz w:val="20"/>
        <w:szCs w:val="20"/>
      </w:rPr>
      <w:instrText xml:space="preserve">PAGE  </w:instrText>
    </w:r>
    <w:r w:rsidRPr="009C2475">
      <w:rPr>
        <w:rStyle w:val="Seitenzahl"/>
        <w:sz w:val="20"/>
        <w:szCs w:val="20"/>
      </w:rPr>
      <w:fldChar w:fldCharType="separate"/>
    </w:r>
    <w:r w:rsidR="0056559A">
      <w:rPr>
        <w:rStyle w:val="Seitenzahl"/>
        <w:noProof/>
        <w:sz w:val="20"/>
        <w:szCs w:val="20"/>
      </w:rPr>
      <w:t>2</w:t>
    </w:r>
    <w:r w:rsidRPr="009C2475">
      <w:rPr>
        <w:rStyle w:val="Seitenzahl"/>
        <w:sz w:val="20"/>
        <w:szCs w:val="20"/>
      </w:rPr>
      <w:fldChar w:fldCharType="end"/>
    </w:r>
  </w:p>
  <w:p w14:paraId="3335F479" w14:textId="77777777" w:rsidR="009C2475" w:rsidRDefault="009C2475" w:rsidP="009C2475">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C5AD1" w14:textId="77777777" w:rsidR="009C2475" w:rsidRDefault="009C2475" w:rsidP="009C2475">
      <w:pPr>
        <w:spacing w:before="0" w:after="0" w:line="240" w:lineRule="auto"/>
      </w:pPr>
      <w:r>
        <w:separator/>
      </w:r>
    </w:p>
  </w:footnote>
  <w:footnote w:type="continuationSeparator" w:id="0">
    <w:p w14:paraId="54F03601" w14:textId="77777777" w:rsidR="009C2475" w:rsidRDefault="009C2475" w:rsidP="009C24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96"/>
    <w:multiLevelType w:val="hybridMultilevel"/>
    <w:tmpl w:val="E97CE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86291E"/>
    <w:multiLevelType w:val="hybridMultilevel"/>
    <w:tmpl w:val="1D42E6D6"/>
    <w:lvl w:ilvl="0" w:tplc="EC6C8E1A">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763D3A"/>
    <w:multiLevelType w:val="hybridMultilevel"/>
    <w:tmpl w:val="56EA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1F2C28"/>
    <w:multiLevelType w:val="hybridMultilevel"/>
    <w:tmpl w:val="5E1A980C"/>
    <w:lvl w:ilvl="0" w:tplc="AB02F4BC">
      <w:start w:val="1"/>
      <w:numFmt w:val="bullet"/>
      <w:lvlText w:val="-"/>
      <w:lvlJc w:val="left"/>
      <w:pPr>
        <w:ind w:left="720" w:hanging="360"/>
      </w:pPr>
      <w:rPr>
        <w:rFonts w:ascii="Times New Roman" w:eastAsiaTheme="minorEastAsia" w:hAnsi="Times New Roman" w:cs="Times New 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7276BE"/>
    <w:multiLevelType w:val="hybridMultilevel"/>
    <w:tmpl w:val="33A46158"/>
    <w:lvl w:ilvl="0" w:tplc="989AD5C2">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C165FC"/>
    <w:multiLevelType w:val="hybridMultilevel"/>
    <w:tmpl w:val="82CAE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2073CB4"/>
    <w:multiLevelType w:val="hybridMultilevel"/>
    <w:tmpl w:val="E5DE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F22568"/>
    <w:multiLevelType w:val="hybridMultilevel"/>
    <w:tmpl w:val="8FAE7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82"/>
    <w:rsid w:val="0001588F"/>
    <w:rsid w:val="000E2AE3"/>
    <w:rsid w:val="0018430D"/>
    <w:rsid w:val="002253DE"/>
    <w:rsid w:val="004A16AD"/>
    <w:rsid w:val="004D55D1"/>
    <w:rsid w:val="00505709"/>
    <w:rsid w:val="0056559A"/>
    <w:rsid w:val="0057533C"/>
    <w:rsid w:val="006C053B"/>
    <w:rsid w:val="007A450D"/>
    <w:rsid w:val="009C2475"/>
    <w:rsid w:val="00CA0182"/>
    <w:rsid w:val="00D97E54"/>
    <w:rsid w:val="00E940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64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33C"/>
    <w:pPr>
      <w:spacing w:before="240" w:after="240" w:line="360" w:lineRule="auto"/>
      <w:jc w:val="both"/>
    </w:pPr>
    <w:rPr>
      <w:rFonts w:ascii="Times New Roman" w:hAnsi="Times New Roman"/>
    </w:rPr>
  </w:style>
  <w:style w:type="paragraph" w:styleId="berschrift1">
    <w:name w:val="heading 1"/>
    <w:basedOn w:val="Standard"/>
    <w:next w:val="Standard"/>
    <w:link w:val="berschrift1Zchn"/>
    <w:uiPriority w:val="9"/>
    <w:qFormat/>
    <w:rsid w:val="004A16AD"/>
    <w:pPr>
      <w:keepNext/>
      <w:keepLines/>
      <w:outlineLvl w:val="0"/>
    </w:pPr>
    <w:rPr>
      <w:rFonts w:ascii="Arial" w:eastAsiaTheme="majorEastAsia" w:hAnsi="Arial" w:cstheme="majorBidi"/>
      <w:b/>
      <w:bCs/>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57533C"/>
    <w:pPr>
      <w:spacing w:before="0" w:after="0" w:line="240" w:lineRule="auto"/>
    </w:pPr>
    <w:rPr>
      <w:sz w:val="20"/>
    </w:rPr>
  </w:style>
  <w:style w:type="character" w:customStyle="1" w:styleId="FunotentextZchn">
    <w:name w:val="Fußnotentext Zchn"/>
    <w:basedOn w:val="Absatz-Standardschriftart"/>
    <w:link w:val="Funotentext"/>
    <w:uiPriority w:val="99"/>
    <w:rsid w:val="0057533C"/>
    <w:rPr>
      <w:rFonts w:ascii="Times New Roman" w:hAnsi="Times New Roman"/>
      <w:sz w:val="20"/>
    </w:rPr>
  </w:style>
  <w:style w:type="paragraph" w:customStyle="1" w:styleId="Standardzitat">
    <w:name w:val="Standardzitat"/>
    <w:basedOn w:val="Standard"/>
    <w:qFormat/>
    <w:rsid w:val="0057533C"/>
    <w:pPr>
      <w:ind w:left="567" w:right="567"/>
    </w:pPr>
    <w:rPr>
      <w:rFonts w:cs="Times New Roman"/>
      <w:sz w:val="20"/>
      <w:szCs w:val="20"/>
      <w:lang w:val="en-US"/>
    </w:rPr>
  </w:style>
  <w:style w:type="paragraph" w:styleId="Beschriftung">
    <w:name w:val="caption"/>
    <w:basedOn w:val="Standard"/>
    <w:next w:val="Standard"/>
    <w:uiPriority w:val="35"/>
    <w:semiHidden/>
    <w:unhideWhenUsed/>
    <w:qFormat/>
    <w:rsid w:val="000E2AE3"/>
    <w:pPr>
      <w:spacing w:before="0" w:after="200" w:line="240" w:lineRule="auto"/>
    </w:pPr>
    <w:rPr>
      <w:rFonts w:ascii="Arial" w:hAnsi="Arial"/>
      <w:bCs/>
      <w:sz w:val="18"/>
      <w:szCs w:val="18"/>
    </w:rPr>
  </w:style>
  <w:style w:type="character" w:customStyle="1" w:styleId="berschrift1Zchn">
    <w:name w:val="Überschrift 1 Zchn"/>
    <w:basedOn w:val="Absatz-Standardschriftart"/>
    <w:link w:val="berschrift1"/>
    <w:uiPriority w:val="9"/>
    <w:rsid w:val="004A16AD"/>
    <w:rPr>
      <w:rFonts w:ascii="Arial" w:eastAsiaTheme="majorEastAsia" w:hAnsi="Arial" w:cstheme="majorBidi"/>
      <w:b/>
      <w:bCs/>
      <w:szCs w:val="32"/>
    </w:rPr>
  </w:style>
  <w:style w:type="paragraph" w:styleId="Listenabsatz">
    <w:name w:val="List Paragraph"/>
    <w:basedOn w:val="Standard"/>
    <w:uiPriority w:val="34"/>
    <w:qFormat/>
    <w:rsid w:val="00505709"/>
    <w:pPr>
      <w:ind w:left="720"/>
      <w:contextualSpacing/>
    </w:pPr>
  </w:style>
  <w:style w:type="paragraph" w:customStyle="1" w:styleId="Standardabsatz">
    <w:name w:val="Standardabsatz"/>
    <w:basedOn w:val="Standard"/>
    <w:qFormat/>
    <w:rsid w:val="007A450D"/>
    <w:pPr>
      <w:suppressAutoHyphens/>
    </w:pPr>
    <w:rPr>
      <w:rFonts w:eastAsia="Arial Unicode MS" w:cs="Calibri"/>
      <w:color w:val="00000A"/>
      <w:szCs w:val="22"/>
      <w:lang w:eastAsia="en-US"/>
    </w:rPr>
  </w:style>
  <w:style w:type="paragraph" w:styleId="Fuzeile">
    <w:name w:val="footer"/>
    <w:basedOn w:val="Standard"/>
    <w:link w:val="FuzeileZchn"/>
    <w:uiPriority w:val="99"/>
    <w:unhideWhenUsed/>
    <w:rsid w:val="009C247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C2475"/>
    <w:rPr>
      <w:rFonts w:ascii="Times New Roman" w:hAnsi="Times New Roman"/>
    </w:rPr>
  </w:style>
  <w:style w:type="character" w:styleId="Seitenzahl">
    <w:name w:val="page number"/>
    <w:basedOn w:val="Absatz-Standardschriftart"/>
    <w:uiPriority w:val="99"/>
    <w:semiHidden/>
    <w:unhideWhenUsed/>
    <w:rsid w:val="009C2475"/>
  </w:style>
  <w:style w:type="paragraph" w:styleId="Kopfzeile">
    <w:name w:val="header"/>
    <w:basedOn w:val="Standard"/>
    <w:link w:val="KopfzeileZchn"/>
    <w:uiPriority w:val="99"/>
    <w:unhideWhenUsed/>
    <w:rsid w:val="009C247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C247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33C"/>
    <w:pPr>
      <w:spacing w:before="240" w:after="240" w:line="360" w:lineRule="auto"/>
      <w:jc w:val="both"/>
    </w:pPr>
    <w:rPr>
      <w:rFonts w:ascii="Times New Roman" w:hAnsi="Times New Roman"/>
    </w:rPr>
  </w:style>
  <w:style w:type="paragraph" w:styleId="berschrift1">
    <w:name w:val="heading 1"/>
    <w:basedOn w:val="Standard"/>
    <w:next w:val="Standard"/>
    <w:link w:val="berschrift1Zchn"/>
    <w:uiPriority w:val="9"/>
    <w:qFormat/>
    <w:rsid w:val="004A16AD"/>
    <w:pPr>
      <w:keepNext/>
      <w:keepLines/>
      <w:outlineLvl w:val="0"/>
    </w:pPr>
    <w:rPr>
      <w:rFonts w:ascii="Arial" w:eastAsiaTheme="majorEastAsia" w:hAnsi="Arial" w:cstheme="majorBidi"/>
      <w:b/>
      <w:bCs/>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57533C"/>
    <w:pPr>
      <w:spacing w:before="0" w:after="0" w:line="240" w:lineRule="auto"/>
    </w:pPr>
    <w:rPr>
      <w:sz w:val="20"/>
    </w:rPr>
  </w:style>
  <w:style w:type="character" w:customStyle="1" w:styleId="FunotentextZchn">
    <w:name w:val="Fußnotentext Zchn"/>
    <w:basedOn w:val="Absatz-Standardschriftart"/>
    <w:link w:val="Funotentext"/>
    <w:uiPriority w:val="99"/>
    <w:rsid w:val="0057533C"/>
    <w:rPr>
      <w:rFonts w:ascii="Times New Roman" w:hAnsi="Times New Roman"/>
      <w:sz w:val="20"/>
    </w:rPr>
  </w:style>
  <w:style w:type="paragraph" w:customStyle="1" w:styleId="Standardzitat">
    <w:name w:val="Standardzitat"/>
    <w:basedOn w:val="Standard"/>
    <w:qFormat/>
    <w:rsid w:val="0057533C"/>
    <w:pPr>
      <w:ind w:left="567" w:right="567"/>
    </w:pPr>
    <w:rPr>
      <w:rFonts w:cs="Times New Roman"/>
      <w:sz w:val="20"/>
      <w:szCs w:val="20"/>
      <w:lang w:val="en-US"/>
    </w:rPr>
  </w:style>
  <w:style w:type="paragraph" w:styleId="Beschriftung">
    <w:name w:val="caption"/>
    <w:basedOn w:val="Standard"/>
    <w:next w:val="Standard"/>
    <w:uiPriority w:val="35"/>
    <w:semiHidden/>
    <w:unhideWhenUsed/>
    <w:qFormat/>
    <w:rsid w:val="000E2AE3"/>
    <w:pPr>
      <w:spacing w:before="0" w:after="200" w:line="240" w:lineRule="auto"/>
    </w:pPr>
    <w:rPr>
      <w:rFonts w:ascii="Arial" w:hAnsi="Arial"/>
      <w:bCs/>
      <w:sz w:val="18"/>
      <w:szCs w:val="18"/>
    </w:rPr>
  </w:style>
  <w:style w:type="character" w:customStyle="1" w:styleId="berschrift1Zchn">
    <w:name w:val="Überschrift 1 Zchn"/>
    <w:basedOn w:val="Absatz-Standardschriftart"/>
    <w:link w:val="berschrift1"/>
    <w:uiPriority w:val="9"/>
    <w:rsid w:val="004A16AD"/>
    <w:rPr>
      <w:rFonts w:ascii="Arial" w:eastAsiaTheme="majorEastAsia" w:hAnsi="Arial" w:cstheme="majorBidi"/>
      <w:b/>
      <w:bCs/>
      <w:szCs w:val="32"/>
    </w:rPr>
  </w:style>
  <w:style w:type="paragraph" w:styleId="Listenabsatz">
    <w:name w:val="List Paragraph"/>
    <w:basedOn w:val="Standard"/>
    <w:uiPriority w:val="34"/>
    <w:qFormat/>
    <w:rsid w:val="00505709"/>
    <w:pPr>
      <w:ind w:left="720"/>
      <w:contextualSpacing/>
    </w:pPr>
  </w:style>
  <w:style w:type="paragraph" w:customStyle="1" w:styleId="Standardabsatz">
    <w:name w:val="Standardabsatz"/>
    <w:basedOn w:val="Standard"/>
    <w:qFormat/>
    <w:rsid w:val="007A450D"/>
    <w:pPr>
      <w:suppressAutoHyphens/>
    </w:pPr>
    <w:rPr>
      <w:rFonts w:eastAsia="Arial Unicode MS" w:cs="Calibri"/>
      <w:color w:val="00000A"/>
      <w:szCs w:val="22"/>
      <w:lang w:eastAsia="en-US"/>
    </w:rPr>
  </w:style>
  <w:style w:type="paragraph" w:styleId="Fuzeile">
    <w:name w:val="footer"/>
    <w:basedOn w:val="Standard"/>
    <w:link w:val="FuzeileZchn"/>
    <w:uiPriority w:val="99"/>
    <w:unhideWhenUsed/>
    <w:rsid w:val="009C247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C2475"/>
    <w:rPr>
      <w:rFonts w:ascii="Times New Roman" w:hAnsi="Times New Roman"/>
    </w:rPr>
  </w:style>
  <w:style w:type="character" w:styleId="Seitenzahl">
    <w:name w:val="page number"/>
    <w:basedOn w:val="Absatz-Standardschriftart"/>
    <w:uiPriority w:val="99"/>
    <w:semiHidden/>
    <w:unhideWhenUsed/>
    <w:rsid w:val="009C2475"/>
  </w:style>
  <w:style w:type="paragraph" w:styleId="Kopfzeile">
    <w:name w:val="header"/>
    <w:basedOn w:val="Standard"/>
    <w:link w:val="KopfzeileZchn"/>
    <w:uiPriority w:val="99"/>
    <w:unhideWhenUsed/>
    <w:rsid w:val="009C247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C247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Leonhard Dobusch</dc:creator>
  <cp:lastModifiedBy>Nippel, Frauke</cp:lastModifiedBy>
  <cp:revision>4</cp:revision>
  <dcterms:created xsi:type="dcterms:W3CDTF">2014-05-02T08:03:00Z</dcterms:created>
  <dcterms:modified xsi:type="dcterms:W3CDTF">2014-05-02T08:04:00Z</dcterms:modified>
</cp:coreProperties>
</file>